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8A" w:rsidRDefault="000255E9" w:rsidP="004C6CEC">
      <w:pPr>
        <w:jc w:val="both"/>
      </w:pPr>
      <w:r>
        <w:rPr>
          <w:b/>
          <w:sz w:val="32"/>
        </w:rPr>
        <w:t xml:space="preserve">Virtual </w:t>
      </w:r>
      <w:r w:rsidR="00FE33F4" w:rsidRPr="00FE33F4">
        <w:rPr>
          <w:b/>
          <w:sz w:val="32"/>
        </w:rPr>
        <w:t>Citizens’ Jury 2020</w:t>
      </w:r>
      <w:r w:rsidR="00FE33F4" w:rsidRPr="00FE33F4">
        <w:rPr>
          <w:b/>
          <w:sz w:val="32"/>
        </w:rPr>
        <w:tab/>
      </w:r>
      <w:r w:rsidR="00FE33F4">
        <w:rPr>
          <w:b/>
          <w:sz w:val="32"/>
        </w:rPr>
        <w:t xml:space="preserve">        </w:t>
      </w:r>
      <w:r w:rsidR="00FE33F4">
        <w:tab/>
      </w:r>
      <w:r w:rsidR="00FE33F4">
        <w:tab/>
        <w:t xml:space="preserve"> </w:t>
      </w:r>
      <w:r>
        <w:t xml:space="preserve">      </w:t>
      </w:r>
      <w:r w:rsidR="00815AC0">
        <w:t xml:space="preserve">   </w:t>
      </w:r>
      <w:r w:rsidR="00FE33F4">
        <w:t xml:space="preserve">       </w:t>
      </w:r>
      <w:r w:rsidR="004C6CEC">
        <w:t xml:space="preserve">     </w:t>
      </w:r>
      <w:r w:rsidR="00FE33F4">
        <w:rPr>
          <w:noProof/>
          <w:lang w:eastAsia="en-GB"/>
        </w:rPr>
        <w:drawing>
          <wp:inline distT="0" distB="0" distL="0" distR="0" wp14:anchorId="4104ECBC" wp14:editId="74FABDB6">
            <wp:extent cx="2017448" cy="9683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M-Master-RGB-Sm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051" cy="9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3D" w:rsidRPr="004C6CEC" w:rsidRDefault="004C0F3D" w:rsidP="004C0F3D">
      <w:pPr>
        <w:rPr>
          <w:b/>
          <w:i/>
        </w:rPr>
      </w:pPr>
      <w:r w:rsidRPr="004C6CEC">
        <w:rPr>
          <w:b/>
          <w:i/>
        </w:rPr>
        <w:t>Doing what really matters in social care in Wales, how can we make it happen together?</w:t>
      </w:r>
    </w:p>
    <w:p w:rsidR="009D68A4" w:rsidRDefault="00377949" w:rsidP="004C0F3D">
      <w:r>
        <w:t xml:space="preserve">Sessions will be live streamed on Measuring the Mountain’s YouTube Channel – check </w:t>
      </w:r>
      <w:hyperlink r:id="rId5" w:history="1">
        <w:r w:rsidRPr="00041155">
          <w:rPr>
            <w:rStyle w:val="Hyperlink"/>
          </w:rPr>
          <w:t>www.facebook.com/MeasuringTheMountain</w:t>
        </w:r>
      </w:hyperlink>
      <w:r>
        <w:t xml:space="preserve">, </w:t>
      </w:r>
      <w:hyperlink r:id="rId6" w:history="1">
        <w:r w:rsidRPr="00041155">
          <w:rPr>
            <w:rStyle w:val="Hyperlink"/>
          </w:rPr>
          <w:t>www.mtm.wales</w:t>
        </w:r>
      </w:hyperlink>
      <w:r>
        <w:t xml:space="preserve"> and @mtmwales for further details, or search ‘Measuring the Mountain’ on YouTube.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9D68A4" w:rsidTr="009D68A4">
        <w:tc>
          <w:tcPr>
            <w:tcW w:w="1980" w:type="dxa"/>
          </w:tcPr>
          <w:p w:rsidR="009D68A4" w:rsidRDefault="009D68A4" w:rsidP="004C0F3D">
            <w:pPr>
              <w:rPr>
                <w:b/>
              </w:rPr>
            </w:pPr>
            <w:r>
              <w:rPr>
                <w:b/>
              </w:rPr>
              <w:t>Monday, Sept.</w:t>
            </w:r>
            <w:r w:rsidRPr="00377949">
              <w:rPr>
                <w:b/>
              </w:rPr>
              <w:t xml:space="preserve"> 21</w:t>
            </w:r>
            <w:r w:rsidRPr="00377949">
              <w:rPr>
                <w:b/>
                <w:vertAlign w:val="superscript"/>
              </w:rPr>
              <w:t>st</w:t>
            </w:r>
            <w:r w:rsidRPr="00377949">
              <w:rPr>
                <w:b/>
              </w:rPr>
              <w:t xml:space="preserve"> </w:t>
            </w:r>
          </w:p>
        </w:tc>
        <w:tc>
          <w:tcPr>
            <w:tcW w:w="8363" w:type="dxa"/>
          </w:tcPr>
          <w:p w:rsidR="009D68A4" w:rsidRPr="00377949" w:rsidRDefault="009D68A4" w:rsidP="004C0F3D">
            <w:pPr>
              <w:rPr>
                <w:b/>
              </w:rPr>
            </w:pPr>
            <w:r>
              <w:rPr>
                <w:b/>
              </w:rPr>
              <w:t>VISIONS FOR THE FUTURE AND THE REALITY OF SOCIAL CARE DELIVERY IN WALES</w:t>
            </w:r>
          </w:p>
        </w:tc>
      </w:tr>
      <w:tr w:rsidR="0026131A" w:rsidTr="00377949">
        <w:tc>
          <w:tcPr>
            <w:tcW w:w="1980" w:type="dxa"/>
          </w:tcPr>
          <w:p w:rsidR="0026131A" w:rsidRDefault="0026131A" w:rsidP="004C0F3D">
            <w:r>
              <w:t>10:00 – 10:20</w:t>
            </w:r>
          </w:p>
        </w:tc>
        <w:tc>
          <w:tcPr>
            <w:tcW w:w="8363" w:type="dxa"/>
          </w:tcPr>
          <w:p w:rsidR="00FE33F4" w:rsidRDefault="0026131A" w:rsidP="004C0F3D">
            <w:r>
              <w:t xml:space="preserve">Albert Heaney, Deputy Director General, Welsh Government opens the </w:t>
            </w:r>
            <w:r w:rsidR="000255E9">
              <w:t xml:space="preserve">Virtual </w:t>
            </w:r>
            <w:bookmarkStart w:id="0" w:name="_GoBack"/>
            <w:bookmarkEnd w:id="0"/>
            <w:r>
              <w:t>Citizens’ Jury</w:t>
            </w:r>
            <w:r w:rsidR="00FE33F4">
              <w:t>.</w:t>
            </w:r>
          </w:p>
          <w:p w:rsidR="009D68A4" w:rsidRPr="009D68A4" w:rsidRDefault="009D68A4" w:rsidP="004C0F3D">
            <w:pPr>
              <w:rPr>
                <w:sz w:val="12"/>
              </w:rPr>
            </w:pPr>
          </w:p>
        </w:tc>
      </w:tr>
      <w:tr w:rsidR="0026131A" w:rsidTr="00377949">
        <w:tc>
          <w:tcPr>
            <w:tcW w:w="1980" w:type="dxa"/>
          </w:tcPr>
          <w:p w:rsidR="0026131A" w:rsidRDefault="0026131A" w:rsidP="004C0F3D">
            <w:r>
              <w:t>10:20 – 11:00</w:t>
            </w:r>
          </w:p>
        </w:tc>
        <w:tc>
          <w:tcPr>
            <w:tcW w:w="8363" w:type="dxa"/>
          </w:tcPr>
          <w:p w:rsidR="00FE33F4" w:rsidRDefault="0026131A" w:rsidP="004C0F3D">
            <w:r>
              <w:t xml:space="preserve">Gwenda Thomas discusses the background to, inception of and aspiration for the Social Services and Well-being </w:t>
            </w:r>
            <w:r w:rsidR="00F56F3D">
              <w:t>(</w:t>
            </w:r>
            <w:r>
              <w:t>Wales</w:t>
            </w:r>
            <w:r w:rsidR="00F56F3D">
              <w:t>)</w:t>
            </w:r>
            <w:r>
              <w:t xml:space="preserve"> Act</w:t>
            </w:r>
            <w:r w:rsidR="00FE33F4">
              <w:t>.</w:t>
            </w:r>
          </w:p>
          <w:p w:rsidR="009D68A4" w:rsidRPr="009D68A4" w:rsidRDefault="009D68A4" w:rsidP="004C0F3D">
            <w:pPr>
              <w:rPr>
                <w:sz w:val="12"/>
              </w:rPr>
            </w:pPr>
          </w:p>
        </w:tc>
      </w:tr>
      <w:tr w:rsidR="0026131A" w:rsidTr="00377949">
        <w:tc>
          <w:tcPr>
            <w:tcW w:w="1980" w:type="dxa"/>
          </w:tcPr>
          <w:p w:rsidR="0026131A" w:rsidRDefault="0026131A" w:rsidP="004C0F3D">
            <w:r>
              <w:t>11:00 – 12:00</w:t>
            </w:r>
          </w:p>
        </w:tc>
        <w:tc>
          <w:tcPr>
            <w:tcW w:w="8363" w:type="dxa"/>
          </w:tcPr>
          <w:p w:rsidR="00FE33F4" w:rsidRDefault="0026131A" w:rsidP="004C0F3D">
            <w:r>
              <w:t>Sarah Day, Practice Solutions</w:t>
            </w:r>
            <w:r w:rsidR="00815AC0">
              <w:t xml:space="preserve">, Jenny O’Hara Jakeway, </w:t>
            </w:r>
            <w:proofErr w:type="spellStart"/>
            <w:r w:rsidR="00815AC0">
              <w:t>Credu</w:t>
            </w:r>
            <w:proofErr w:type="spellEnd"/>
            <w:r>
              <w:t xml:space="preserve"> and Ossie Stuart, Equality and D</w:t>
            </w:r>
            <w:r w:rsidR="00FE33F4">
              <w:t xml:space="preserve">iversity Consultant discuss social care and visions for </w:t>
            </w:r>
            <w:r w:rsidR="006C75C9">
              <w:t xml:space="preserve">the </w:t>
            </w:r>
            <w:r w:rsidR="00FE33F4">
              <w:t>future.</w:t>
            </w:r>
          </w:p>
          <w:p w:rsidR="009D68A4" w:rsidRPr="009D68A4" w:rsidRDefault="009D68A4" w:rsidP="004C0F3D">
            <w:pPr>
              <w:rPr>
                <w:sz w:val="12"/>
              </w:rPr>
            </w:pPr>
          </w:p>
        </w:tc>
      </w:tr>
      <w:tr w:rsidR="0026131A" w:rsidTr="00377949">
        <w:tc>
          <w:tcPr>
            <w:tcW w:w="1980" w:type="dxa"/>
          </w:tcPr>
          <w:p w:rsidR="0026131A" w:rsidRDefault="0026131A" w:rsidP="004C0F3D">
            <w:r>
              <w:t xml:space="preserve">14:00 – 15:00 </w:t>
            </w:r>
          </w:p>
        </w:tc>
        <w:tc>
          <w:tcPr>
            <w:tcW w:w="8363" w:type="dxa"/>
          </w:tcPr>
          <w:p w:rsidR="00FE33F4" w:rsidRDefault="00FE33F4" w:rsidP="004C0F3D">
            <w:r>
              <w:t>Sue Evans, Social Care Wales and Eve Parkinson, Adult Services, Monmouthshire, discuss the delivery of social care in Wales.</w:t>
            </w:r>
          </w:p>
          <w:p w:rsidR="009D68A4" w:rsidRPr="009D68A4" w:rsidRDefault="009D68A4" w:rsidP="004C0F3D">
            <w:pPr>
              <w:rPr>
                <w:sz w:val="12"/>
              </w:rPr>
            </w:pPr>
          </w:p>
        </w:tc>
      </w:tr>
    </w:tbl>
    <w:p w:rsidR="009D68A4" w:rsidRDefault="009D68A4" w:rsidP="004C0F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9D68A4" w:rsidTr="009D68A4">
        <w:tc>
          <w:tcPr>
            <w:tcW w:w="1980" w:type="dxa"/>
          </w:tcPr>
          <w:p w:rsidR="009D68A4" w:rsidRDefault="009D68A4" w:rsidP="00B61CB7">
            <w:pPr>
              <w:rPr>
                <w:b/>
              </w:rPr>
            </w:pPr>
            <w:r>
              <w:rPr>
                <w:b/>
              </w:rPr>
              <w:t>Tuesday, Sept.</w:t>
            </w:r>
            <w:r w:rsidRPr="00377949">
              <w:rPr>
                <w:b/>
              </w:rPr>
              <w:t xml:space="preserve"> 22</w:t>
            </w:r>
            <w:r w:rsidRPr="00377949">
              <w:rPr>
                <w:b/>
                <w:vertAlign w:val="superscript"/>
              </w:rPr>
              <w:t>nd</w:t>
            </w:r>
            <w:r w:rsidRPr="00377949">
              <w:rPr>
                <w:b/>
              </w:rPr>
              <w:t xml:space="preserve"> </w:t>
            </w:r>
          </w:p>
        </w:tc>
        <w:tc>
          <w:tcPr>
            <w:tcW w:w="8363" w:type="dxa"/>
          </w:tcPr>
          <w:p w:rsidR="009D68A4" w:rsidRPr="00377949" w:rsidRDefault="009D68A4" w:rsidP="00440731">
            <w:pPr>
              <w:rPr>
                <w:b/>
              </w:rPr>
            </w:pPr>
            <w:r>
              <w:rPr>
                <w:b/>
              </w:rPr>
              <w:t xml:space="preserve">THE EXPERIENCES OF </w:t>
            </w:r>
            <w:r w:rsidR="00440731">
              <w:rPr>
                <w:b/>
              </w:rPr>
              <w:t>UNPAID CARERS AND PEOPLE USING SUPPORT SERVICES</w:t>
            </w:r>
          </w:p>
        </w:tc>
      </w:tr>
      <w:tr w:rsidR="00FE33F4" w:rsidTr="00377949">
        <w:tc>
          <w:tcPr>
            <w:tcW w:w="1980" w:type="dxa"/>
          </w:tcPr>
          <w:p w:rsidR="00FE33F4" w:rsidRDefault="00FE33F4" w:rsidP="00B61CB7">
            <w:r>
              <w:t>11:00 – 12:00</w:t>
            </w:r>
          </w:p>
        </w:tc>
        <w:tc>
          <w:tcPr>
            <w:tcW w:w="8363" w:type="dxa"/>
          </w:tcPr>
          <w:p w:rsidR="00FE33F4" w:rsidRDefault="00FE33F4" w:rsidP="00B61CB7">
            <w:r>
              <w:t>D and K, two parent-carers, discuss their experiences of raising their sons.</w:t>
            </w:r>
          </w:p>
          <w:p w:rsidR="009D68A4" w:rsidRPr="009D68A4" w:rsidRDefault="009D68A4" w:rsidP="00B61CB7">
            <w:pPr>
              <w:rPr>
                <w:sz w:val="12"/>
              </w:rPr>
            </w:pPr>
          </w:p>
        </w:tc>
      </w:tr>
      <w:tr w:rsidR="00FE33F4" w:rsidTr="00377949">
        <w:tc>
          <w:tcPr>
            <w:tcW w:w="1980" w:type="dxa"/>
          </w:tcPr>
          <w:p w:rsidR="00FE33F4" w:rsidRDefault="00FE33F4" w:rsidP="00B61CB7">
            <w:r>
              <w:t xml:space="preserve">14:00 – 15:00 </w:t>
            </w:r>
          </w:p>
        </w:tc>
        <w:tc>
          <w:tcPr>
            <w:tcW w:w="8363" w:type="dxa"/>
          </w:tcPr>
          <w:p w:rsidR="000772C5" w:rsidRDefault="000772C5" w:rsidP="000772C5">
            <w:r>
              <w:t>S and H discuss their experiences of using support services.</w:t>
            </w:r>
          </w:p>
          <w:p w:rsidR="009D68A4" w:rsidRPr="009D68A4" w:rsidRDefault="009D68A4" w:rsidP="000772C5">
            <w:pPr>
              <w:rPr>
                <w:sz w:val="12"/>
              </w:rPr>
            </w:pPr>
          </w:p>
        </w:tc>
      </w:tr>
    </w:tbl>
    <w:p w:rsidR="009D68A4" w:rsidRDefault="009D68A4" w:rsidP="004C0F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9D68A4" w:rsidTr="009D68A4">
        <w:tc>
          <w:tcPr>
            <w:tcW w:w="1980" w:type="dxa"/>
          </w:tcPr>
          <w:p w:rsidR="009D68A4" w:rsidRDefault="009D68A4" w:rsidP="00B61CB7">
            <w:pPr>
              <w:rPr>
                <w:b/>
              </w:rPr>
            </w:pPr>
            <w:r>
              <w:rPr>
                <w:b/>
              </w:rPr>
              <w:t>Wednesday, Sept.</w:t>
            </w:r>
            <w:r w:rsidRPr="00377949">
              <w:rPr>
                <w:b/>
              </w:rPr>
              <w:t xml:space="preserve"> 23</w:t>
            </w:r>
            <w:r w:rsidRPr="00377949">
              <w:rPr>
                <w:b/>
                <w:vertAlign w:val="superscript"/>
              </w:rPr>
              <w:t>rd</w:t>
            </w:r>
            <w:r w:rsidRPr="00377949">
              <w:rPr>
                <w:b/>
              </w:rPr>
              <w:t xml:space="preserve"> </w:t>
            </w:r>
          </w:p>
        </w:tc>
        <w:tc>
          <w:tcPr>
            <w:tcW w:w="8363" w:type="dxa"/>
          </w:tcPr>
          <w:p w:rsidR="009D68A4" w:rsidRPr="00377949" w:rsidRDefault="009D68A4" w:rsidP="00B61CB7">
            <w:pPr>
              <w:rPr>
                <w:b/>
              </w:rPr>
            </w:pPr>
            <w:r>
              <w:rPr>
                <w:b/>
              </w:rPr>
              <w:t>GOOD PRACTICE BEFORE AND DURING THE PANDEMIC</w:t>
            </w:r>
          </w:p>
        </w:tc>
      </w:tr>
      <w:tr w:rsidR="00FE33F4" w:rsidTr="00377949">
        <w:tc>
          <w:tcPr>
            <w:tcW w:w="1980" w:type="dxa"/>
          </w:tcPr>
          <w:p w:rsidR="00FE33F4" w:rsidRDefault="00FE33F4" w:rsidP="00B61CB7">
            <w:r>
              <w:t>10:30 – 12:00</w:t>
            </w:r>
          </w:p>
        </w:tc>
        <w:tc>
          <w:tcPr>
            <w:tcW w:w="8363" w:type="dxa"/>
          </w:tcPr>
          <w:p w:rsidR="00FE33F4" w:rsidRDefault="004C6CEC" w:rsidP="00B61CB7">
            <w:r>
              <w:t xml:space="preserve">Dave Horton, ACE (Action in </w:t>
            </w:r>
            <w:proofErr w:type="spellStart"/>
            <w:r>
              <w:t>Caerau</w:t>
            </w:r>
            <w:proofErr w:type="spellEnd"/>
            <w:r>
              <w:t xml:space="preserve"> and Ely), Nick French, Innovate Trust and Claire Sullivan, NEWCIS discuss their work, the principles that underpin it and how they know it provides excellent support. </w:t>
            </w:r>
          </w:p>
          <w:p w:rsidR="009D68A4" w:rsidRPr="009D68A4" w:rsidRDefault="009D68A4" w:rsidP="00B61CB7">
            <w:pPr>
              <w:rPr>
                <w:sz w:val="12"/>
              </w:rPr>
            </w:pPr>
          </w:p>
        </w:tc>
      </w:tr>
      <w:tr w:rsidR="00FE33F4" w:rsidTr="00377949">
        <w:tc>
          <w:tcPr>
            <w:tcW w:w="1980" w:type="dxa"/>
          </w:tcPr>
          <w:p w:rsidR="00FE33F4" w:rsidRDefault="00FE33F4" w:rsidP="00B61CB7">
            <w:r>
              <w:t xml:space="preserve">14:00 – 15:00 </w:t>
            </w:r>
          </w:p>
        </w:tc>
        <w:tc>
          <w:tcPr>
            <w:tcW w:w="8363" w:type="dxa"/>
          </w:tcPr>
          <w:p w:rsidR="006C75C9" w:rsidRDefault="009D68A4" w:rsidP="00B61CB7">
            <w:r>
              <w:t xml:space="preserve">Sue Nicholson, </w:t>
            </w:r>
            <w:proofErr w:type="spellStart"/>
            <w:r>
              <w:t>Mencap</w:t>
            </w:r>
            <w:proofErr w:type="spellEnd"/>
            <w:r>
              <w:t xml:space="preserve"> Chepstow and Amber Powell, Carers Wales discuss services they developed in response to the pandemic. </w:t>
            </w:r>
          </w:p>
          <w:p w:rsidR="009D68A4" w:rsidRPr="009D68A4" w:rsidRDefault="009D68A4" w:rsidP="00B61CB7">
            <w:pPr>
              <w:rPr>
                <w:sz w:val="12"/>
              </w:rPr>
            </w:pPr>
          </w:p>
        </w:tc>
      </w:tr>
    </w:tbl>
    <w:p w:rsidR="009D68A4" w:rsidRDefault="009D68A4" w:rsidP="004C0F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9D68A4" w:rsidTr="009D68A4">
        <w:tc>
          <w:tcPr>
            <w:tcW w:w="1980" w:type="dxa"/>
          </w:tcPr>
          <w:p w:rsidR="009D68A4" w:rsidRDefault="009D68A4" w:rsidP="00B61CB7">
            <w:pPr>
              <w:rPr>
                <w:b/>
              </w:rPr>
            </w:pPr>
            <w:r>
              <w:rPr>
                <w:b/>
              </w:rPr>
              <w:t>Thursday, Sept.</w:t>
            </w:r>
            <w:r w:rsidRPr="00377949">
              <w:rPr>
                <w:b/>
              </w:rPr>
              <w:t xml:space="preserve"> 24</w:t>
            </w:r>
            <w:r w:rsidRPr="00377949">
              <w:rPr>
                <w:b/>
                <w:vertAlign w:val="superscript"/>
              </w:rPr>
              <w:t>th</w:t>
            </w:r>
            <w:r w:rsidRPr="00377949">
              <w:rPr>
                <w:b/>
              </w:rPr>
              <w:t xml:space="preserve"> </w:t>
            </w:r>
          </w:p>
        </w:tc>
        <w:tc>
          <w:tcPr>
            <w:tcW w:w="8363" w:type="dxa"/>
          </w:tcPr>
          <w:p w:rsidR="009D68A4" w:rsidRPr="00377949" w:rsidRDefault="009D68A4" w:rsidP="00B61CB7">
            <w:pPr>
              <w:rPr>
                <w:b/>
              </w:rPr>
            </w:pPr>
            <w:r>
              <w:rPr>
                <w:b/>
              </w:rPr>
              <w:t>BRINGING ABOUT CHANGE</w:t>
            </w:r>
          </w:p>
        </w:tc>
      </w:tr>
      <w:tr w:rsidR="004C6CEC" w:rsidTr="00377949">
        <w:tc>
          <w:tcPr>
            <w:tcW w:w="1980" w:type="dxa"/>
          </w:tcPr>
          <w:p w:rsidR="004C6CEC" w:rsidRDefault="004C6CEC" w:rsidP="00B61CB7">
            <w:r>
              <w:t>10:30 – 12:00</w:t>
            </w:r>
          </w:p>
        </w:tc>
        <w:tc>
          <w:tcPr>
            <w:tcW w:w="8363" w:type="dxa"/>
          </w:tcPr>
          <w:p w:rsidR="004C6CEC" w:rsidRDefault="004C6CEC" w:rsidP="00B61CB7">
            <w:r>
              <w:t>Members of the Gwent Regional Partnership Board and Citizens’ Panel discuss their role</w:t>
            </w:r>
            <w:r w:rsidR="00F02EAE">
              <w:t xml:space="preserve"> and bringing about change through integrated projects</w:t>
            </w:r>
            <w:r>
              <w:t xml:space="preserve">. </w:t>
            </w:r>
          </w:p>
          <w:p w:rsidR="009D68A4" w:rsidRPr="009D68A4" w:rsidRDefault="009D68A4" w:rsidP="00B61CB7">
            <w:pPr>
              <w:rPr>
                <w:sz w:val="12"/>
              </w:rPr>
            </w:pPr>
          </w:p>
        </w:tc>
      </w:tr>
      <w:tr w:rsidR="004C6CEC" w:rsidTr="00377949">
        <w:tc>
          <w:tcPr>
            <w:tcW w:w="1980" w:type="dxa"/>
          </w:tcPr>
          <w:p w:rsidR="004C6CEC" w:rsidRDefault="004C6CEC" w:rsidP="00B61CB7">
            <w:r>
              <w:t xml:space="preserve">14:00 – 15:00 </w:t>
            </w:r>
          </w:p>
        </w:tc>
        <w:tc>
          <w:tcPr>
            <w:tcW w:w="8363" w:type="dxa"/>
          </w:tcPr>
          <w:p w:rsidR="004C6CEC" w:rsidRDefault="00F02EAE" w:rsidP="00B61CB7">
            <w:r>
              <w:t xml:space="preserve">Nick Andrews, Swansea University and Chris Bolton, Good Practice Exchange at the Wales Audit Office discuss their work and </w:t>
            </w:r>
            <w:r w:rsidR="00DC0C8F">
              <w:t>ideas for making change happen.</w:t>
            </w:r>
          </w:p>
          <w:p w:rsidR="009D68A4" w:rsidRPr="009D68A4" w:rsidRDefault="009D68A4" w:rsidP="00B61CB7">
            <w:pPr>
              <w:rPr>
                <w:sz w:val="12"/>
              </w:rPr>
            </w:pPr>
          </w:p>
        </w:tc>
      </w:tr>
      <w:tr w:rsidR="006C75C9" w:rsidTr="00377949">
        <w:tc>
          <w:tcPr>
            <w:tcW w:w="1980" w:type="dxa"/>
          </w:tcPr>
          <w:p w:rsidR="006C75C9" w:rsidRDefault="000772C5" w:rsidP="00B61CB7">
            <w:r>
              <w:t>15:00 – 15:15</w:t>
            </w:r>
          </w:p>
        </w:tc>
        <w:tc>
          <w:tcPr>
            <w:tcW w:w="8363" w:type="dxa"/>
          </w:tcPr>
          <w:p w:rsidR="006C75C9" w:rsidRDefault="009D68A4" w:rsidP="00B61CB7">
            <w:r>
              <w:t xml:space="preserve">Close of public </w:t>
            </w:r>
            <w:r w:rsidR="000772C5">
              <w:t xml:space="preserve">proceedings by Neil Wooding, Chair </w:t>
            </w:r>
            <w:r>
              <w:t xml:space="preserve">of Measuring </w:t>
            </w:r>
            <w:r w:rsidR="000772C5">
              <w:t>t</w:t>
            </w:r>
            <w:r>
              <w:t xml:space="preserve">he </w:t>
            </w:r>
            <w:r w:rsidR="000772C5">
              <w:t>M</w:t>
            </w:r>
            <w:r>
              <w:t>ountain’s</w:t>
            </w:r>
            <w:r w:rsidR="000772C5">
              <w:t xml:space="preserve"> Steering Group</w:t>
            </w:r>
          </w:p>
          <w:p w:rsidR="009D68A4" w:rsidRPr="009D68A4" w:rsidRDefault="009D68A4" w:rsidP="00B61CB7">
            <w:pPr>
              <w:rPr>
                <w:sz w:val="12"/>
              </w:rPr>
            </w:pPr>
          </w:p>
        </w:tc>
      </w:tr>
    </w:tbl>
    <w:p w:rsidR="00377949" w:rsidRDefault="00377949" w:rsidP="00815AC0"/>
    <w:sectPr w:rsidR="00377949" w:rsidSect="003779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3D"/>
    <w:rsid w:val="000255E9"/>
    <w:rsid w:val="000772C5"/>
    <w:rsid w:val="000D1102"/>
    <w:rsid w:val="00132D2F"/>
    <w:rsid w:val="0026131A"/>
    <w:rsid w:val="0031458A"/>
    <w:rsid w:val="0032790B"/>
    <w:rsid w:val="00377949"/>
    <w:rsid w:val="00440731"/>
    <w:rsid w:val="004C0F3D"/>
    <w:rsid w:val="004C6CEC"/>
    <w:rsid w:val="006C75C9"/>
    <w:rsid w:val="00815AC0"/>
    <w:rsid w:val="008C029C"/>
    <w:rsid w:val="009D68A4"/>
    <w:rsid w:val="00A55F3F"/>
    <w:rsid w:val="00DC0C8F"/>
    <w:rsid w:val="00F02EAE"/>
    <w:rsid w:val="00F56F3D"/>
    <w:rsid w:val="00FA414E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B59A"/>
  <w15:docId w15:val="{12E731D9-3509-4746-95BD-C31A4E3E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2D2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D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D2F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4C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9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m.wales" TargetMode="External"/><Relationship Id="rId5" Type="http://schemas.openxmlformats.org/officeDocument/2006/relationships/hyperlink" Target="http://www.facebook.com/MeasuringTheMounta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Cooke</dc:creator>
  <cp:lastModifiedBy>Katie Cooke</cp:lastModifiedBy>
  <cp:revision>8</cp:revision>
  <dcterms:created xsi:type="dcterms:W3CDTF">2020-09-11T15:51:00Z</dcterms:created>
  <dcterms:modified xsi:type="dcterms:W3CDTF">2020-09-14T11:35:00Z</dcterms:modified>
</cp:coreProperties>
</file>